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19976" w14:textId="77777777" w:rsidR="00C1381A" w:rsidRPr="009752E8" w:rsidRDefault="00C1381A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proofErr w:type="spellStart"/>
      <w:r w:rsidRPr="009752E8">
        <w:t>AKustic</w:t>
      </w:r>
      <w:proofErr w:type="spellEnd"/>
      <w:r w:rsidRPr="009752E8">
        <w:t xml:space="preserve"> 25/30</w:t>
      </w:r>
    </w:p>
    <w:p w14:paraId="3A391D55" w14:textId="77777777" w:rsidR="00C1381A" w:rsidRPr="009752E8" w:rsidRDefault="00C1381A" w:rsidP="004A7CED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cm. 30 –24.5x30x20  </w:t>
      </w:r>
    </w:p>
    <w:p w14:paraId="3C271B13" w14:textId="77777777" w:rsidR="00C1381A" w:rsidRPr="009752E8" w:rsidRDefault="00C1381A" w:rsidP="004A7CED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3466F89" w14:textId="77777777" w:rsidR="00C1381A" w:rsidRPr="009752E8" w:rsidRDefault="00C1381A" w:rsidP="004A7CED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acustiche di spessore pari a 30 cm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lisci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</w:t>
      </w:r>
      <w:proofErr w:type="spellStart"/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AKustic</w:t>
      </w:r>
      <w:proofErr w:type="spellEnd"/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25/30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24.5x30x20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>45%,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potere fonoisolante 54 dB (rapporto di prova 423352 - Istituto Giordano), REI 180-EI 240, sfasamento termico 14,67 ore, conducibilità termica del blocco λ10,dry 0,183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verticali ed orizzontali di malta cementizia ed aventi trasmittanza della parete pari a  0,610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0031A720" w14:textId="77777777" w:rsidR="00C1381A" w:rsidRPr="009752E8" w:rsidRDefault="00C1381A" w:rsidP="004A7CED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Il tutto comprensivo dell’onere per il ponteggio, la formazione di mazzette, stipiti, sguinci, voltine, lo sfrido, il tiro in alto ed ogni altro onere e magistero per dare la muratura finita a regola d’arte. </w:t>
      </w:r>
    </w:p>
    <w:p w14:paraId="0BE52DA0" w14:textId="77777777" w:rsidR="00C1381A" w:rsidRPr="009752E8" w:rsidRDefault="00C1381A" w:rsidP="004A7CED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7214130A" w14:textId="77777777" w:rsidR="00C1381A" w:rsidRPr="009752E8" w:rsidRDefault="00C1381A" w:rsidP="004A7CED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072B4C88" w14:textId="77777777" w:rsidR="00C1381A" w:rsidRPr="009752E8" w:rsidRDefault="00C1381A" w:rsidP="004A7CED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2323A2F3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B0DAF" w14:textId="77777777" w:rsidR="003A72FC" w:rsidRDefault="003A72FC" w:rsidP="00ED5674">
      <w:pPr>
        <w:spacing w:after="0" w:line="240" w:lineRule="auto"/>
      </w:pPr>
      <w:r>
        <w:separator/>
      </w:r>
    </w:p>
  </w:endnote>
  <w:endnote w:type="continuationSeparator" w:id="0">
    <w:p w14:paraId="76C0644C" w14:textId="77777777" w:rsidR="003A72FC" w:rsidRDefault="003A72FC" w:rsidP="00ED5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3EFBA" w14:textId="77777777" w:rsidR="003A72FC" w:rsidRDefault="003A72FC" w:rsidP="00ED5674">
      <w:pPr>
        <w:spacing w:after="0" w:line="240" w:lineRule="auto"/>
      </w:pPr>
      <w:r>
        <w:separator/>
      </w:r>
    </w:p>
  </w:footnote>
  <w:footnote w:type="continuationSeparator" w:id="0">
    <w:p w14:paraId="1BF6AB4D" w14:textId="77777777" w:rsidR="003A72FC" w:rsidRDefault="003A72FC" w:rsidP="00ED5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5AE28" w14:textId="3FE6E7CA" w:rsidR="00ED5674" w:rsidRDefault="00ED5674">
    <w:pPr>
      <w:pStyle w:val="Intestazione"/>
    </w:pPr>
    <w:r>
      <w:rPr>
        <w:noProof/>
      </w:rPr>
      <w:drawing>
        <wp:inline distT="0" distB="0" distL="0" distR="0" wp14:anchorId="1856F8B1" wp14:editId="5B8F5CA4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81A"/>
    <w:rsid w:val="002A046F"/>
    <w:rsid w:val="003A72FC"/>
    <w:rsid w:val="00C1381A"/>
    <w:rsid w:val="00D92ACE"/>
    <w:rsid w:val="00ED5674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FCA3F"/>
  <w15:chartTrackingRefBased/>
  <w15:docId w15:val="{4DC69944-1163-422A-BC29-F4C0D3A7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138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38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38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38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38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38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38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38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38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38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38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38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381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381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38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38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38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38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38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38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38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38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38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38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38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381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38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381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381A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C1381A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C1381A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D567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5674"/>
  </w:style>
  <w:style w:type="paragraph" w:styleId="Pidipagina">
    <w:name w:val="footer"/>
    <w:basedOn w:val="Normale"/>
    <w:link w:val="PidipaginaCarattere"/>
    <w:uiPriority w:val="99"/>
    <w:unhideWhenUsed/>
    <w:rsid w:val="00ED567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5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