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55DC7" w14:textId="77777777" w:rsidR="002A7323" w:rsidRPr="009752E8" w:rsidRDefault="002A7323" w:rsidP="002A7323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>AKustic 25/30</w:t>
      </w:r>
    </w:p>
    <w:p w14:paraId="310B7056" w14:textId="77777777" w:rsidR="002A7323" w:rsidRPr="009752E8" w:rsidRDefault="002A7323" w:rsidP="002A7323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 xml:space="preserve">spessore muratura cm. 25 – 30x24.5x20  </w:t>
      </w:r>
    </w:p>
    <w:p w14:paraId="1EE1734D" w14:textId="77777777" w:rsidR="002A7323" w:rsidRPr="009752E8" w:rsidRDefault="002A7323" w:rsidP="002A7323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4A112591" w14:textId="77777777" w:rsidR="002A7323" w:rsidRPr="009752E8" w:rsidRDefault="002A7323" w:rsidP="002A732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Muratura portante o di tamponamento in elevazione ad alte prestazioni acustiche di spessore pari a 25 cm in laterizio porizzato, confezionata con blocchi lisci denominati POROTON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E2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AKustic 25/30 di dimensioni nominali 30x24.5x20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>45%,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potere fonoisolante 54 dB (rapporto di prova 423352 - Istituto Giordano), REI 120-EI 240, sfasamento termico 12,00 ore, conducibilità termica del blocco λ10,dry 0,182 W/mK, legati con giunti verticali ed orizzontali di malta cementizia ed aventi trasmittanza della parete pari a  0,708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0EDB084A" w14:textId="77777777" w:rsidR="002A7323" w:rsidRPr="009752E8" w:rsidRDefault="002A7323" w:rsidP="002A732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Il tutto comprensivo dell’onere per il ponteggio, la formazione di mazzette, stipiti, sguinci, voltine, lo sfrido, il tiro in alto ed ogni altro onere e magistero per dare la muratura finita a regola d’arte. </w:t>
      </w:r>
    </w:p>
    <w:p w14:paraId="03D9C5D8" w14:textId="77777777" w:rsidR="002A7323" w:rsidRPr="009752E8" w:rsidRDefault="002A7323" w:rsidP="002A732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2323A2F3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D10BF" w14:textId="77777777" w:rsidR="00E60EA0" w:rsidRDefault="00E60EA0" w:rsidP="00B43A36">
      <w:pPr>
        <w:spacing w:after="0" w:line="240" w:lineRule="auto"/>
      </w:pPr>
      <w:r>
        <w:separator/>
      </w:r>
    </w:p>
  </w:endnote>
  <w:endnote w:type="continuationSeparator" w:id="0">
    <w:p w14:paraId="09D997C8" w14:textId="77777777" w:rsidR="00E60EA0" w:rsidRDefault="00E60EA0" w:rsidP="00B43A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732ED" w14:textId="77777777" w:rsidR="00E60EA0" w:rsidRDefault="00E60EA0" w:rsidP="00B43A36">
      <w:pPr>
        <w:spacing w:after="0" w:line="240" w:lineRule="auto"/>
      </w:pPr>
      <w:r>
        <w:separator/>
      </w:r>
    </w:p>
  </w:footnote>
  <w:footnote w:type="continuationSeparator" w:id="0">
    <w:p w14:paraId="727E8B52" w14:textId="77777777" w:rsidR="00E60EA0" w:rsidRDefault="00E60EA0" w:rsidP="00B43A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2561B" w14:textId="7956C0DB" w:rsidR="00B43A36" w:rsidRDefault="00B43A36">
    <w:pPr>
      <w:pStyle w:val="Intestazione"/>
    </w:pPr>
    <w:r>
      <w:rPr>
        <w:noProof/>
      </w:rPr>
      <w:drawing>
        <wp:inline distT="0" distB="0" distL="0" distR="0" wp14:anchorId="10319553" wp14:editId="593A417B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81A"/>
    <w:rsid w:val="002A046F"/>
    <w:rsid w:val="002A7323"/>
    <w:rsid w:val="00B43A36"/>
    <w:rsid w:val="00C1381A"/>
    <w:rsid w:val="00D92ACE"/>
    <w:rsid w:val="00E60EA0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FCA3F"/>
  <w15:chartTrackingRefBased/>
  <w15:docId w15:val="{4DC69944-1163-422A-BC29-F4C0D3A72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138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138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138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138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138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138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138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138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138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138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138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138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1381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1381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1381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1381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1381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1381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138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138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138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138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138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1381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1381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1381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138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1381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1381A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C1381A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C1381A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B43A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43A36"/>
  </w:style>
  <w:style w:type="paragraph" w:styleId="Pidipagina">
    <w:name w:val="footer"/>
    <w:basedOn w:val="Normale"/>
    <w:link w:val="PidipaginaCarattere"/>
    <w:uiPriority w:val="99"/>
    <w:unhideWhenUsed/>
    <w:rsid w:val="00B43A3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43A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3</cp:revision>
  <dcterms:created xsi:type="dcterms:W3CDTF">2026-01-14T14:42:00Z</dcterms:created>
  <dcterms:modified xsi:type="dcterms:W3CDTF">2026-01-22T09:19:00Z</dcterms:modified>
</cp:coreProperties>
</file>