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439C4" w14:textId="77777777" w:rsidR="00411566" w:rsidRPr="009752E8" w:rsidRDefault="00411566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 xml:space="preserve">800-15 </w:t>
      </w:r>
    </w:p>
    <w:p w14:paraId="7138C9D9" w14:textId="77777777" w:rsidR="00411566" w:rsidRPr="009752E8" w:rsidRDefault="0041156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15 – 25x15x25  </w:t>
      </w:r>
    </w:p>
    <w:p w14:paraId="2AA48C22" w14:textId="77777777" w:rsidR="00411566" w:rsidRPr="009752E8" w:rsidRDefault="00411566">
      <w:pPr>
        <w:jc w:val="both"/>
        <w:rPr>
          <w:rFonts w:ascii="Tahoma" w:hAnsi="Tahoma" w:cs="Tahoma"/>
          <w:color w:val="000000"/>
        </w:rPr>
      </w:pPr>
    </w:p>
    <w:p w14:paraId="05A0C966" w14:textId="77777777" w:rsidR="00411566" w:rsidRPr="009752E8" w:rsidRDefault="00411566" w:rsidP="0050328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per tamponamento, divisori o pareti tagliafuoco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lisci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800-15 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di dimensioni nominali 25x15x25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12,5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0,198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verticali e orizzontali di malta cementizia classe M5; potere fonoisolante della parete 46 dB, EI 90, sfasamento termico 6,78 ore e trasmittanza della parete pari a  1,159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045B07C1" w14:textId="77777777" w:rsidR="00411566" w:rsidRPr="009752E8" w:rsidRDefault="00411566" w:rsidP="0050328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33452558" w14:textId="77777777" w:rsidR="00411566" w:rsidRPr="009752E8" w:rsidRDefault="00411566" w:rsidP="0050328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7EB67D94" w14:textId="77777777" w:rsidR="00411566" w:rsidRPr="009752E8" w:rsidRDefault="00411566">
      <w:pPr>
        <w:jc w:val="both"/>
        <w:rPr>
          <w:rFonts w:ascii="Tahoma" w:hAnsi="Tahoma" w:cs="Tahoma"/>
          <w:color w:val="000000"/>
        </w:rPr>
      </w:pPr>
    </w:p>
    <w:p w14:paraId="39FC8416" w14:textId="77777777" w:rsidR="00411566" w:rsidRPr="009752E8" w:rsidRDefault="00411566">
      <w:pPr>
        <w:jc w:val="both"/>
        <w:rPr>
          <w:rFonts w:ascii="Tahoma" w:hAnsi="Tahoma" w:cs="Tahoma"/>
          <w:color w:val="000000"/>
        </w:rPr>
      </w:pPr>
    </w:p>
    <w:p w14:paraId="27641A6F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11F89" w14:textId="77777777" w:rsidR="00012056" w:rsidRDefault="00012056" w:rsidP="006760BA">
      <w:pPr>
        <w:spacing w:after="0" w:line="240" w:lineRule="auto"/>
      </w:pPr>
      <w:r>
        <w:separator/>
      </w:r>
    </w:p>
  </w:endnote>
  <w:endnote w:type="continuationSeparator" w:id="0">
    <w:p w14:paraId="3A0ABC0E" w14:textId="77777777" w:rsidR="00012056" w:rsidRDefault="00012056" w:rsidP="00676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EDF44" w14:textId="77777777" w:rsidR="00012056" w:rsidRDefault="00012056" w:rsidP="006760BA">
      <w:pPr>
        <w:spacing w:after="0" w:line="240" w:lineRule="auto"/>
      </w:pPr>
      <w:r>
        <w:separator/>
      </w:r>
    </w:p>
  </w:footnote>
  <w:footnote w:type="continuationSeparator" w:id="0">
    <w:p w14:paraId="75A5858F" w14:textId="77777777" w:rsidR="00012056" w:rsidRDefault="00012056" w:rsidP="006760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D3367" w14:textId="11033E9B" w:rsidR="006760BA" w:rsidRPr="006760BA" w:rsidRDefault="006760BA" w:rsidP="006760BA">
    <w:pPr>
      <w:pStyle w:val="Intestazione"/>
    </w:pPr>
    <w:r>
      <w:rPr>
        <w:noProof/>
      </w:rPr>
      <w:drawing>
        <wp:inline distT="0" distB="0" distL="0" distR="0" wp14:anchorId="44858312" wp14:editId="51021D4F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66"/>
    <w:rsid w:val="00012056"/>
    <w:rsid w:val="002A046F"/>
    <w:rsid w:val="00411566"/>
    <w:rsid w:val="006760BA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8D38B"/>
  <w15:chartTrackingRefBased/>
  <w15:docId w15:val="{619665F3-205F-4127-BE15-CB661BA7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115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115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115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115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115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115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115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115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115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115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115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115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1156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1156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115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115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115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115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115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115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115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115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115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115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115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1156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115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1156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11566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411566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411566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6760B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60BA"/>
  </w:style>
  <w:style w:type="paragraph" w:styleId="Pidipagina">
    <w:name w:val="footer"/>
    <w:basedOn w:val="Normale"/>
    <w:link w:val="PidipaginaCarattere"/>
    <w:uiPriority w:val="99"/>
    <w:unhideWhenUsed/>
    <w:rsid w:val="006760B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6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