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2A1CA" w14:textId="77777777" w:rsidR="005349D8" w:rsidRPr="009752E8" w:rsidRDefault="005349D8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700-38,5 Incastro Dlgs 311</w:t>
      </w:r>
    </w:p>
    <w:p w14:paraId="01A5A059" w14:textId="77777777" w:rsidR="005349D8" w:rsidRPr="009752E8" w:rsidRDefault="005349D8" w:rsidP="00381C37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38,5 – 23x38,5x25</w:t>
      </w:r>
    </w:p>
    <w:p w14:paraId="4A052144" w14:textId="77777777" w:rsidR="005349D8" w:rsidRPr="009752E8" w:rsidRDefault="005349D8" w:rsidP="00381C37">
      <w:pPr>
        <w:jc w:val="both"/>
        <w:rPr>
          <w:rFonts w:ascii="Tahoma" w:hAnsi="Tahoma" w:cs="Tahoma"/>
          <w:color w:val="000000"/>
        </w:rPr>
      </w:pPr>
    </w:p>
    <w:p w14:paraId="41DA0A9E" w14:textId="77777777" w:rsidR="005349D8" w:rsidRPr="009752E8" w:rsidRDefault="005349D8" w:rsidP="00381C37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termiche di spessore pari a 38,5 cm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700-38,5 Incastro Dlgs 311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23x38,5x25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0,131 W/mK, legati con giunti orizzontali di malta cementizia classe M5; potere fonoisolante della parete 51,2dB, REI 240-EI 240, sfasamento termico 20,53 ore e trasmittanza della parete pari a  0,344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 o pari a 0,297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K (intonaco esterno termoisolante spessore 2 cm e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6C"/>
      </w:r>
      <w:r w:rsidRPr="009752E8">
        <w:rPr>
          <w:rFonts w:ascii="Tahoma" w:hAnsi="Tahoma" w:cs="Tahoma"/>
          <w:color w:val="000000"/>
          <w:sz w:val="22"/>
          <w:szCs w:val="22"/>
        </w:rPr>
        <w:t>= 0,042 W/mK); conformi a quanto previsto dalla normativa sul risparmio energetico.</w:t>
      </w:r>
    </w:p>
    <w:p w14:paraId="64D61754" w14:textId="77777777" w:rsidR="005349D8" w:rsidRPr="009752E8" w:rsidRDefault="005349D8" w:rsidP="00381C37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0449D9BF" w14:textId="77777777" w:rsidR="005349D8" w:rsidRPr="009752E8" w:rsidRDefault="005349D8" w:rsidP="00381C37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0331AE7" w14:textId="77777777" w:rsidR="005349D8" w:rsidRPr="009752E8" w:rsidRDefault="005349D8">
      <w:pPr>
        <w:jc w:val="both"/>
        <w:rPr>
          <w:rFonts w:ascii="Tahoma" w:hAnsi="Tahoma" w:cs="Tahoma"/>
          <w:color w:val="000000"/>
        </w:rPr>
      </w:pPr>
    </w:p>
    <w:p w14:paraId="639BD154" w14:textId="77777777" w:rsidR="005349D8" w:rsidRDefault="005349D8" w:rsidP="00593A9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6BBA734E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E5241" w14:textId="77777777" w:rsidR="00210948" w:rsidRDefault="00210948" w:rsidP="0011558D">
      <w:pPr>
        <w:spacing w:after="0" w:line="240" w:lineRule="auto"/>
      </w:pPr>
      <w:r>
        <w:separator/>
      </w:r>
    </w:p>
  </w:endnote>
  <w:endnote w:type="continuationSeparator" w:id="0">
    <w:p w14:paraId="6A74484B" w14:textId="77777777" w:rsidR="00210948" w:rsidRDefault="00210948" w:rsidP="00115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9077D" w14:textId="77777777" w:rsidR="00210948" w:rsidRDefault="00210948" w:rsidP="0011558D">
      <w:pPr>
        <w:spacing w:after="0" w:line="240" w:lineRule="auto"/>
      </w:pPr>
      <w:r>
        <w:separator/>
      </w:r>
    </w:p>
  </w:footnote>
  <w:footnote w:type="continuationSeparator" w:id="0">
    <w:p w14:paraId="6A504E4B" w14:textId="77777777" w:rsidR="00210948" w:rsidRDefault="00210948" w:rsidP="00115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0442B" w14:textId="5F0963C7" w:rsidR="0011558D" w:rsidRDefault="0011558D">
    <w:pPr>
      <w:pStyle w:val="Intestazione"/>
    </w:pPr>
    <w:r>
      <w:rPr>
        <w:noProof/>
      </w:rPr>
      <w:drawing>
        <wp:inline distT="0" distB="0" distL="0" distR="0" wp14:anchorId="0645A216" wp14:editId="3867E2D6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9D8"/>
    <w:rsid w:val="0011558D"/>
    <w:rsid w:val="00210948"/>
    <w:rsid w:val="002A046F"/>
    <w:rsid w:val="005349D8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9EBDD"/>
  <w15:chartTrackingRefBased/>
  <w15:docId w15:val="{F61F592F-DF40-4870-BCE8-10473F0E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349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349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49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49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49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49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49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49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49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49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349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49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49D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49D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49D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49D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49D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49D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49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49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49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49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49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49D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349D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49D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49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49D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49D8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5349D8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5349D8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1155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558D"/>
  </w:style>
  <w:style w:type="paragraph" w:styleId="Pidipagina">
    <w:name w:val="footer"/>
    <w:basedOn w:val="Normale"/>
    <w:link w:val="PidipaginaCarattere"/>
    <w:uiPriority w:val="99"/>
    <w:unhideWhenUsed/>
    <w:rsid w:val="001155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5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