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DFD51" w14:textId="77777777" w:rsidR="00383B36" w:rsidRPr="009752E8" w:rsidRDefault="00383B36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r w:rsidRPr="009752E8">
        <w:t>700-30 Incastro</w:t>
      </w:r>
    </w:p>
    <w:p w14:paraId="49BBD52E" w14:textId="77777777" w:rsidR="00383B36" w:rsidRPr="009752E8" w:rsidRDefault="00383B36" w:rsidP="00D62049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 xml:space="preserve">spessore muratura cm 30 – 25x30x25  </w:t>
      </w:r>
    </w:p>
    <w:p w14:paraId="45EE2DDC" w14:textId="77777777" w:rsidR="00383B36" w:rsidRPr="009752E8" w:rsidRDefault="00383B36" w:rsidP="00D62049">
      <w:pPr>
        <w:jc w:val="both"/>
        <w:rPr>
          <w:rFonts w:ascii="Tahoma" w:hAnsi="Tahoma" w:cs="Tahoma"/>
          <w:color w:val="000000"/>
        </w:rPr>
      </w:pPr>
    </w:p>
    <w:p w14:paraId="5D623D31" w14:textId="77777777" w:rsidR="00383B36" w:rsidRPr="009752E8" w:rsidRDefault="00383B36" w:rsidP="007F449C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portante o di tamponamento in elevazione ad alte prestazioni di spessore pari a 30 cm in laterizio porizzato, confezionata con blocchi ad incastro verticale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700-30 incastro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di dimensioni nominali 25x30x25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3C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53%, conformi al D.M. 17/01/2018, resistenza a compressione in direzione dei carichi verticali 15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0,204 W/mK, legati con giunti orizzontali di malta cementizia classe M5; potere fonoisolante della parete 49,7 dB, REI 180-EI 240, sfasamento termico 13,31 ore e trasmittanza della parete pari a  0,613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1CD26CB3" w14:textId="77777777" w:rsidR="00383B36" w:rsidRPr="009752E8" w:rsidRDefault="00383B36" w:rsidP="007F449C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4FA0D815" w14:textId="77777777" w:rsidR="00383B36" w:rsidRPr="009752E8" w:rsidRDefault="00383B36" w:rsidP="007F449C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688E7B4A" w14:textId="77777777" w:rsidR="00383B36" w:rsidRPr="009752E8" w:rsidRDefault="00383B36" w:rsidP="007F449C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</w:p>
    <w:p w14:paraId="3D1CA1AC" w14:textId="77777777" w:rsidR="00383B36" w:rsidRPr="009752E8" w:rsidRDefault="00383B36" w:rsidP="007F449C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</w:p>
    <w:p w14:paraId="0E730A85" w14:textId="77777777" w:rsidR="00383B36" w:rsidRPr="009752E8" w:rsidRDefault="00383B36" w:rsidP="007F449C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</w:p>
    <w:p w14:paraId="6E674B48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BB6F2" w14:textId="77777777" w:rsidR="00D060CD" w:rsidRDefault="00D060CD" w:rsidP="00032CB2">
      <w:pPr>
        <w:spacing w:after="0" w:line="240" w:lineRule="auto"/>
      </w:pPr>
      <w:r>
        <w:separator/>
      </w:r>
    </w:p>
  </w:endnote>
  <w:endnote w:type="continuationSeparator" w:id="0">
    <w:p w14:paraId="772A31C9" w14:textId="77777777" w:rsidR="00D060CD" w:rsidRDefault="00D060CD" w:rsidP="00032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6068B" w14:textId="77777777" w:rsidR="00D060CD" w:rsidRDefault="00D060CD" w:rsidP="00032CB2">
      <w:pPr>
        <w:spacing w:after="0" w:line="240" w:lineRule="auto"/>
      </w:pPr>
      <w:r>
        <w:separator/>
      </w:r>
    </w:p>
  </w:footnote>
  <w:footnote w:type="continuationSeparator" w:id="0">
    <w:p w14:paraId="734F8F61" w14:textId="77777777" w:rsidR="00D060CD" w:rsidRDefault="00D060CD" w:rsidP="00032C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68DDC" w14:textId="15FFBD2E" w:rsidR="00032CB2" w:rsidRDefault="00032CB2">
    <w:pPr>
      <w:pStyle w:val="Intestazione"/>
    </w:pPr>
    <w:r>
      <w:rPr>
        <w:noProof/>
      </w:rPr>
      <w:drawing>
        <wp:inline distT="0" distB="0" distL="0" distR="0" wp14:anchorId="0F095665" wp14:editId="74441B82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B36"/>
    <w:rsid w:val="00032CB2"/>
    <w:rsid w:val="002A046F"/>
    <w:rsid w:val="00383B36"/>
    <w:rsid w:val="00D060CD"/>
    <w:rsid w:val="00D92ACE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A491C"/>
  <w15:chartTrackingRefBased/>
  <w15:docId w15:val="{5BFE3CA2-56CF-4C53-8EB3-C8835FECC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83B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83B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83B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83B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83B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83B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83B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83B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83B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83B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83B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83B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83B36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83B36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83B3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83B3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83B3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83B3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83B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83B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83B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83B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83B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83B3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83B3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83B36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83B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83B36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83B36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383B36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383B36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032C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32CB2"/>
  </w:style>
  <w:style w:type="paragraph" w:styleId="Pidipagina">
    <w:name w:val="footer"/>
    <w:basedOn w:val="Normale"/>
    <w:link w:val="PidipaginaCarattere"/>
    <w:uiPriority w:val="99"/>
    <w:unhideWhenUsed/>
    <w:rsid w:val="00032C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32C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2026-01-22T09:20:00Z</dcterms:modified>
</cp:coreProperties>
</file>